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420 2024 227 vom 5. November 2024</w:t>
      </w:r>
    </w:p>
    <w:p>
      <w:r>
        <w:t>BL Gerichte, 2024-11-05, DE</w:t>
      </w:r>
    </w:p>
    <w:p>
      <w:r>
        <w:rPr>
          <w:b/>
        </w:rPr>
        <w:t xml:space="preserve">Quelle: </w:t>
      </w:r>
      <w:r>
        <w:t>https://mcp.opencaselaw.ch/entscheid/bl_gerichte_420 2024 227</w:t>
      </w:r>
    </w:p>
    <w:p>
      <w:r>
        <w:t>FR: BL_GERICHTE 420 2024 227 du 5 novembre 2024</w:t>
      </w:r>
    </w:p>
    <w:p>
      <w:r>
        <w:t>IT: BL_GERICHTE 420 2024 227 del 5 novembre 2024</w:t>
      </w:r>
    </w:p>
    <w:p>
      <w:pPr>
        <w:pStyle w:val="Heading2"/>
      </w:pPr>
      <w:r>
        <w:t>Regeste</w:t>
      </w:r>
    </w:p>
    <w:p>
      <w:r>
        <w:t>Anfechtung einer Zwangsversteigerung nach Art. 230 OR i.V.m. Art. 17 SchKG: Das besondere Anfechtungsrecht nach Art. 230 OR ist im Fall einer Zwangsversteigerung mit Beschwerde nach Art. 17 SchKG bei der Aufsichtsbehörde geltend zu machen. Da es sich um eine Gestaltungsklage handelt, führt eine Gutheissung der Beschwerde zur Aufhebung des Steigerungskaufvertrages durch Gestaltungsurteil ex tunc. Eine Herabsetzung des Zuschlagspreises ist nicht möglich (E. 1.2).</w:t>
      </w:r>
    </w:p>
    <w:p>
      <w:pPr>
        <w:pStyle w:val="Heading2"/>
      </w:pPr>
      <w:r>
        <w:t>Erwägungen</w:t>
      </w:r>
    </w:p>
    <w:p>
      <w:r>
        <w:rPr>
          <w:b/>
        </w:rPr>
        <w:t>E. 2</w:t>
      </w:r>
    </w:p>
    <w:p>
      <w:r>
        <w:t>Für das Beschwerdeverfahren werden gemäss Art. 20a Abs. 2 Ziff. 5 SchKG keine Kosten erhoben. Gemäss Art. 62 Abs. 2 Gebührenverordnung zum Bundesgesetz über Schuldbetreibung und Konkurs (GebV SchKG, SR 281.35) dürfen bei Beschwerdefahren nach Art. 17 SchKG keine Parteientschädigungen zugesprochen werden. Demzufolge trägt jede Partei ihre Parteikosten selber.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